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D018D" w14:textId="4740731C" w:rsidR="000C5FAC" w:rsidRPr="000D6436" w:rsidRDefault="008102C9" w:rsidP="001F63FE">
      <w:pPr>
        <w:jc w:val="center"/>
        <w:rPr>
          <w:rFonts w:ascii="Verdana" w:hAnsi="Verdana"/>
          <w:b/>
          <w:sz w:val="20"/>
          <w:szCs w:val="20"/>
          <w:u w:val="single"/>
          <w:lang w:val="es-ES_tradnl"/>
        </w:rPr>
      </w:pPr>
      <w:r w:rsidRPr="000D6436">
        <w:rPr>
          <w:rFonts w:ascii="Verdana" w:hAnsi="Verdana"/>
          <w:b/>
          <w:sz w:val="20"/>
          <w:szCs w:val="20"/>
          <w:u w:val="single"/>
          <w:lang w:val="es-ES_tradnl"/>
        </w:rPr>
        <w:t xml:space="preserve">Caso Valenzuela Ávila </w:t>
      </w:r>
      <w:r w:rsidR="00EF4922" w:rsidRPr="000D6436">
        <w:rPr>
          <w:rFonts w:ascii="Verdana" w:hAnsi="Verdana"/>
          <w:b/>
          <w:i/>
          <w:sz w:val="20"/>
          <w:szCs w:val="20"/>
          <w:u w:val="single"/>
          <w:lang w:val="es-ES_tradnl"/>
        </w:rPr>
        <w:t xml:space="preserve">Vs. </w:t>
      </w:r>
      <w:r w:rsidR="00EF4922" w:rsidRPr="000D6436">
        <w:rPr>
          <w:rFonts w:ascii="Verdana" w:hAnsi="Verdana"/>
          <w:b/>
          <w:sz w:val="20"/>
          <w:szCs w:val="20"/>
          <w:u w:val="single"/>
          <w:lang w:val="es-ES_tradnl"/>
        </w:rPr>
        <w:t>Guatemala: reparaciones declaradas cumplidas</w:t>
      </w:r>
    </w:p>
    <w:p w14:paraId="1BF13227" w14:textId="77777777" w:rsidR="00EF4922" w:rsidRPr="00E9204F" w:rsidRDefault="00EF4922" w:rsidP="00EF4922">
      <w:pPr>
        <w:jc w:val="both"/>
        <w:rPr>
          <w:rFonts w:ascii="Verdana" w:hAnsi="Verdana"/>
          <w:sz w:val="20"/>
          <w:szCs w:val="20"/>
          <w:lang w:val="es-ES_tradnl"/>
        </w:rPr>
      </w:pPr>
    </w:p>
    <w:p w14:paraId="352449CC" w14:textId="515700CB" w:rsidR="00D56F40" w:rsidRPr="00D56F40" w:rsidRDefault="00D56F40" w:rsidP="00E9204F">
      <w:pPr>
        <w:pStyle w:val="Prrafodelista"/>
        <w:widowControl w:val="0"/>
        <w:numPr>
          <w:ilvl w:val="0"/>
          <w:numId w:val="1"/>
        </w:numPr>
        <w:autoSpaceDE w:val="0"/>
        <w:autoSpaceDN w:val="0"/>
        <w:adjustRightInd w:val="0"/>
        <w:spacing w:after="40"/>
        <w:ind w:left="0" w:right="22" w:firstLine="0"/>
        <w:contextualSpacing w:val="0"/>
        <w:jc w:val="both"/>
        <w:rPr>
          <w:rFonts w:ascii="Verdana" w:hAnsi="Verdana"/>
          <w:sz w:val="20"/>
          <w:szCs w:val="20"/>
          <w:lang w:val="es-ES_tradnl"/>
        </w:rPr>
      </w:pPr>
      <w:r w:rsidRPr="00D56F40">
        <w:rPr>
          <w:rFonts w:ascii="Verdana" w:hAnsi="Verdana"/>
          <w:sz w:val="20"/>
          <w:szCs w:val="20"/>
        </w:rPr>
        <w:t>Realizar las publicaciones indicadas en los párrafos 238 y 239 de la Sentencia</w:t>
      </w:r>
      <w:r>
        <w:rPr>
          <w:rFonts w:ascii="Verdana" w:hAnsi="Verdana"/>
          <w:sz w:val="20"/>
          <w:szCs w:val="20"/>
        </w:rPr>
        <w:t>.</w:t>
      </w:r>
      <w:r w:rsidRPr="00D56F40">
        <w:rPr>
          <w:rFonts w:ascii="Verdana" w:hAnsi="Verdana"/>
          <w:sz w:val="20"/>
          <w:szCs w:val="20"/>
          <w:lang w:val="es-ES_tradnl"/>
        </w:rPr>
        <w:t xml:space="preserve"> </w:t>
      </w:r>
    </w:p>
    <w:p w14:paraId="66274CDA" w14:textId="77777777" w:rsidR="00D56F40" w:rsidRDefault="00D56F40" w:rsidP="00D56F40">
      <w:pPr>
        <w:pStyle w:val="Prrafodelista"/>
        <w:widowControl w:val="0"/>
        <w:autoSpaceDE w:val="0"/>
        <w:autoSpaceDN w:val="0"/>
        <w:adjustRightInd w:val="0"/>
        <w:spacing w:after="40"/>
        <w:ind w:left="0" w:right="22"/>
        <w:contextualSpacing w:val="0"/>
        <w:jc w:val="both"/>
        <w:rPr>
          <w:rFonts w:ascii="Verdana" w:hAnsi="Verdana"/>
          <w:sz w:val="20"/>
          <w:szCs w:val="20"/>
          <w:lang w:val="es-ES_tradnl"/>
        </w:rPr>
      </w:pPr>
    </w:p>
    <w:p w14:paraId="44971B82" w14:textId="7067B628" w:rsidR="00D56F40" w:rsidRPr="00D56F40" w:rsidRDefault="00D56F40" w:rsidP="00E9204F">
      <w:pPr>
        <w:pStyle w:val="Prrafodelista"/>
        <w:widowControl w:val="0"/>
        <w:numPr>
          <w:ilvl w:val="0"/>
          <w:numId w:val="1"/>
        </w:numPr>
        <w:autoSpaceDE w:val="0"/>
        <w:autoSpaceDN w:val="0"/>
        <w:adjustRightInd w:val="0"/>
        <w:spacing w:after="40"/>
        <w:ind w:left="0" w:right="22" w:firstLine="0"/>
        <w:contextualSpacing w:val="0"/>
        <w:jc w:val="both"/>
        <w:rPr>
          <w:rFonts w:ascii="Verdana" w:hAnsi="Verdana"/>
          <w:sz w:val="20"/>
          <w:szCs w:val="20"/>
          <w:lang w:val="es-ES_tradnl"/>
        </w:rPr>
      </w:pPr>
      <w:r w:rsidRPr="00D56F40">
        <w:rPr>
          <w:rFonts w:ascii="Verdana" w:hAnsi="Verdana"/>
          <w:sz w:val="20"/>
          <w:szCs w:val="20"/>
        </w:rPr>
        <w:t>Realizar el traslado de los restos del señor Tirso Román Valenzuela Ávila a otro cementerio, en un plazo de seis meses, en los términos del párrafo 242 de la presente Sentencia.</w:t>
      </w:r>
      <w:r w:rsidRPr="00D56F40">
        <w:rPr>
          <w:rFonts w:ascii="Verdana" w:hAnsi="Verdana"/>
          <w:sz w:val="20"/>
          <w:szCs w:val="20"/>
          <w:lang w:val="es-ES_tradnl"/>
        </w:rPr>
        <w:t xml:space="preserve"> </w:t>
      </w:r>
    </w:p>
    <w:p w14:paraId="74071ED1" w14:textId="77777777" w:rsidR="00D56F40" w:rsidRPr="00D56F40" w:rsidRDefault="00D56F40" w:rsidP="00D56F40">
      <w:pPr>
        <w:pStyle w:val="Prrafodelista"/>
        <w:rPr>
          <w:rFonts w:ascii="Verdana" w:hAnsi="Verdana"/>
          <w:sz w:val="20"/>
          <w:szCs w:val="20"/>
          <w:lang w:val="es-ES_tradnl"/>
        </w:rPr>
      </w:pPr>
    </w:p>
    <w:p w14:paraId="1EEFEC6C" w14:textId="4DDE192F" w:rsidR="00E9204F" w:rsidRDefault="00D56F40" w:rsidP="00E9204F">
      <w:pPr>
        <w:pStyle w:val="Prrafodelista"/>
        <w:widowControl w:val="0"/>
        <w:numPr>
          <w:ilvl w:val="0"/>
          <w:numId w:val="1"/>
        </w:numPr>
        <w:autoSpaceDE w:val="0"/>
        <w:autoSpaceDN w:val="0"/>
        <w:adjustRightInd w:val="0"/>
        <w:spacing w:after="40"/>
        <w:ind w:left="0" w:right="22" w:firstLine="0"/>
        <w:contextualSpacing w:val="0"/>
        <w:jc w:val="both"/>
        <w:rPr>
          <w:rFonts w:ascii="Verdana" w:hAnsi="Verdana"/>
          <w:sz w:val="20"/>
          <w:szCs w:val="20"/>
          <w:lang w:val="es-ES_tradnl"/>
        </w:rPr>
      </w:pPr>
      <w:r>
        <w:rPr>
          <w:rFonts w:ascii="Verdana" w:hAnsi="Verdana"/>
          <w:sz w:val="20"/>
          <w:szCs w:val="20"/>
          <w:lang w:val="es-ES_tradnl"/>
        </w:rPr>
        <w:t>P</w:t>
      </w:r>
      <w:r w:rsidR="008102C9" w:rsidRPr="00E9204F">
        <w:rPr>
          <w:rFonts w:ascii="Verdana" w:hAnsi="Verdana"/>
          <w:sz w:val="20"/>
          <w:szCs w:val="20"/>
          <w:lang w:val="es-ES_tradnl"/>
        </w:rPr>
        <w:t>agar la cantidad fijada en el párrafo 254 de la Sentencia por concepto de indemnización por daño inmaterial.</w:t>
      </w:r>
    </w:p>
    <w:p w14:paraId="40B13C8D" w14:textId="77777777" w:rsidR="00E9204F" w:rsidRPr="00E9204F" w:rsidRDefault="00E9204F" w:rsidP="00E9204F">
      <w:pPr>
        <w:pStyle w:val="Prrafodelista"/>
        <w:widowControl w:val="0"/>
        <w:autoSpaceDE w:val="0"/>
        <w:autoSpaceDN w:val="0"/>
        <w:adjustRightInd w:val="0"/>
        <w:spacing w:after="40"/>
        <w:ind w:left="0" w:right="22"/>
        <w:contextualSpacing w:val="0"/>
        <w:jc w:val="both"/>
        <w:rPr>
          <w:rFonts w:ascii="Verdana" w:hAnsi="Verdana"/>
          <w:sz w:val="20"/>
          <w:szCs w:val="20"/>
          <w:lang w:val="es-ES_tradnl"/>
        </w:rPr>
      </w:pPr>
    </w:p>
    <w:p w14:paraId="13542589" w14:textId="4037FE4B" w:rsidR="00E9204F" w:rsidRPr="00A6401D" w:rsidRDefault="00E9204F" w:rsidP="00E9204F">
      <w:pPr>
        <w:pStyle w:val="Prrafodelista"/>
        <w:widowControl w:val="0"/>
        <w:numPr>
          <w:ilvl w:val="0"/>
          <w:numId w:val="1"/>
        </w:numPr>
        <w:autoSpaceDE w:val="0"/>
        <w:autoSpaceDN w:val="0"/>
        <w:adjustRightInd w:val="0"/>
        <w:spacing w:after="40"/>
        <w:ind w:left="0" w:right="22" w:firstLine="0"/>
        <w:contextualSpacing w:val="0"/>
        <w:jc w:val="both"/>
        <w:rPr>
          <w:rFonts w:ascii="Verdana" w:hAnsi="Verdana"/>
          <w:sz w:val="20"/>
          <w:szCs w:val="20"/>
          <w:lang w:val="es-ES_tradnl"/>
        </w:rPr>
      </w:pPr>
      <w:r w:rsidRPr="00E9204F">
        <w:rPr>
          <w:rFonts w:ascii="Verdana" w:hAnsi="Verdana"/>
          <w:sz w:val="20"/>
          <w:szCs w:val="20"/>
        </w:rPr>
        <w:t xml:space="preserve">Reintegrar al Fondo de Asistencia Legal de Víctimas de la Corte Interamericana de Derechos Humanos la cantidad erogada durante la tramitación del presente caso, en los términos del párrafo 261 de </w:t>
      </w:r>
      <w:r>
        <w:rPr>
          <w:rFonts w:ascii="Verdana" w:hAnsi="Verdana"/>
          <w:sz w:val="20"/>
          <w:szCs w:val="20"/>
        </w:rPr>
        <w:t>l</w:t>
      </w:r>
      <w:r w:rsidRPr="00E9204F">
        <w:rPr>
          <w:rFonts w:ascii="Verdana" w:hAnsi="Verdana"/>
          <w:sz w:val="20"/>
          <w:szCs w:val="20"/>
        </w:rPr>
        <w:t>a Sentencia.</w:t>
      </w:r>
    </w:p>
    <w:p w14:paraId="3D123348" w14:textId="77777777" w:rsidR="00A6401D" w:rsidRPr="00E9204F" w:rsidRDefault="00A6401D" w:rsidP="00A6401D">
      <w:pPr>
        <w:pStyle w:val="Prrafodelista"/>
        <w:widowControl w:val="0"/>
        <w:autoSpaceDE w:val="0"/>
        <w:autoSpaceDN w:val="0"/>
        <w:adjustRightInd w:val="0"/>
        <w:spacing w:after="40"/>
        <w:ind w:left="0" w:right="22"/>
        <w:contextualSpacing w:val="0"/>
        <w:jc w:val="both"/>
        <w:rPr>
          <w:rFonts w:ascii="Verdana" w:hAnsi="Verdana"/>
          <w:sz w:val="20"/>
          <w:szCs w:val="20"/>
          <w:lang w:val="es-ES_tradnl"/>
        </w:rPr>
      </w:pPr>
    </w:p>
    <w:p w14:paraId="41ABB24B" w14:textId="1AE9A1E5" w:rsidR="00E25C07" w:rsidRPr="000D6436" w:rsidRDefault="00E25C07" w:rsidP="008102C9">
      <w:pPr>
        <w:pStyle w:val="Prrafodelista"/>
        <w:widowControl w:val="0"/>
        <w:autoSpaceDE w:val="0"/>
        <w:autoSpaceDN w:val="0"/>
        <w:adjustRightInd w:val="0"/>
        <w:spacing w:after="40"/>
        <w:ind w:left="0" w:right="22"/>
        <w:contextualSpacing w:val="0"/>
        <w:jc w:val="both"/>
        <w:rPr>
          <w:rFonts w:ascii="Verdana" w:hAnsi="Verdana"/>
          <w:sz w:val="20"/>
          <w:szCs w:val="20"/>
          <w:lang w:val="es-ES_tradnl"/>
        </w:rPr>
      </w:pPr>
    </w:p>
    <w:p w14:paraId="5868249D" w14:textId="77777777" w:rsidR="000D6436" w:rsidRPr="000D6436" w:rsidRDefault="000D6436" w:rsidP="000D6436">
      <w:pPr>
        <w:tabs>
          <w:tab w:val="left" w:pos="360"/>
        </w:tabs>
        <w:rPr>
          <w:rFonts w:ascii="Verdana" w:hAnsi="Verdana"/>
          <w:b/>
          <w:sz w:val="20"/>
          <w:szCs w:val="20"/>
        </w:rPr>
      </w:pPr>
      <w:r w:rsidRPr="000D6436">
        <w:rPr>
          <w:rFonts w:ascii="Verdana" w:hAnsi="Verdana"/>
          <w:b/>
          <w:sz w:val="20"/>
          <w:szCs w:val="20"/>
        </w:rPr>
        <w:t>Cumplimiento parcial:</w:t>
      </w:r>
    </w:p>
    <w:p w14:paraId="71584329" w14:textId="77777777" w:rsidR="000D6436" w:rsidRPr="000D6436" w:rsidRDefault="000D6436" w:rsidP="000D6436">
      <w:pPr>
        <w:spacing w:after="40"/>
        <w:rPr>
          <w:rFonts w:ascii="Verdana" w:hAnsi="Verdana"/>
          <w:sz w:val="20"/>
          <w:szCs w:val="20"/>
        </w:rPr>
      </w:pPr>
    </w:p>
    <w:p w14:paraId="6215750D" w14:textId="6E0D78FC" w:rsidR="000D6436" w:rsidRPr="00A6401D" w:rsidRDefault="00A6401D" w:rsidP="00606CAB">
      <w:pPr>
        <w:pStyle w:val="Prrafodelista"/>
        <w:widowControl w:val="0"/>
        <w:numPr>
          <w:ilvl w:val="0"/>
          <w:numId w:val="1"/>
        </w:numPr>
        <w:autoSpaceDE w:val="0"/>
        <w:autoSpaceDN w:val="0"/>
        <w:adjustRightInd w:val="0"/>
        <w:spacing w:after="40"/>
        <w:ind w:left="0" w:right="22" w:firstLine="0"/>
        <w:contextualSpacing w:val="0"/>
        <w:jc w:val="both"/>
        <w:rPr>
          <w:rFonts w:ascii="Verdana" w:hAnsi="Verdana"/>
          <w:sz w:val="20"/>
          <w:szCs w:val="20"/>
        </w:rPr>
      </w:pPr>
      <w:bookmarkStart w:id="0" w:name="_Hlk170374003"/>
      <w:r w:rsidRPr="00A6401D">
        <w:rPr>
          <w:rFonts w:ascii="Verdana" w:hAnsi="Verdana"/>
          <w:sz w:val="20"/>
          <w:szCs w:val="20"/>
        </w:rPr>
        <w:t>Pagar las cantidades fijadas en el párrafo 258 de la Sentencia por concepto de costas y gastos</w:t>
      </w:r>
      <w:bookmarkEnd w:id="0"/>
      <w:r w:rsidR="000D6436" w:rsidRPr="00A6401D">
        <w:rPr>
          <w:rFonts w:ascii="Verdana" w:hAnsi="Verdana"/>
          <w:sz w:val="20"/>
          <w:szCs w:val="20"/>
        </w:rPr>
        <w:t>.</w:t>
      </w:r>
    </w:p>
    <w:p w14:paraId="6C3868FC" w14:textId="77777777" w:rsidR="000D6436" w:rsidRPr="000D6436" w:rsidRDefault="000D6436" w:rsidP="000D6436">
      <w:pPr>
        <w:spacing w:after="40"/>
        <w:rPr>
          <w:rFonts w:ascii="Verdana" w:hAnsi="Verdana"/>
          <w:sz w:val="20"/>
          <w:szCs w:val="20"/>
        </w:rPr>
      </w:pPr>
    </w:p>
    <w:p w14:paraId="4B206FA7" w14:textId="040B73E8" w:rsidR="000D6436" w:rsidRPr="00A6401D" w:rsidRDefault="00A6401D" w:rsidP="00A6401D">
      <w:pPr>
        <w:jc w:val="both"/>
        <w:rPr>
          <w:rFonts w:ascii="Verdana" w:hAnsi="Verdana"/>
          <w:sz w:val="20"/>
          <w:szCs w:val="20"/>
        </w:rPr>
      </w:pPr>
      <w:r w:rsidRPr="00A6401D">
        <w:rPr>
          <w:rFonts w:ascii="Verdana" w:hAnsi="Verdana"/>
          <w:sz w:val="20"/>
          <w:szCs w:val="20"/>
        </w:rPr>
        <w:t>En el Considerando 8 de la Resolución de 14 de marzo de 2024, se explica lo que continúa pendiente de cumplimiento respecto a la presente medida de reparación</w:t>
      </w:r>
      <w:r w:rsidR="000D6436" w:rsidRPr="00A6401D">
        <w:rPr>
          <w:rFonts w:ascii="Verdana" w:hAnsi="Verdana"/>
          <w:sz w:val="20"/>
          <w:szCs w:val="20"/>
        </w:rPr>
        <w:t>:</w:t>
      </w:r>
    </w:p>
    <w:p w14:paraId="366826EC" w14:textId="77777777" w:rsidR="000D6436" w:rsidRPr="000D6436" w:rsidRDefault="000D6436" w:rsidP="000D6436">
      <w:pPr>
        <w:rPr>
          <w:rFonts w:ascii="Verdana" w:hAnsi="Verdana"/>
          <w:sz w:val="20"/>
          <w:szCs w:val="20"/>
        </w:rPr>
      </w:pPr>
    </w:p>
    <w:p w14:paraId="087E2734" w14:textId="000F84E2" w:rsidR="001F63FE" w:rsidRPr="00672CEF" w:rsidRDefault="00672CEF" w:rsidP="00672CEF">
      <w:pPr>
        <w:autoSpaceDE w:val="0"/>
        <w:autoSpaceDN w:val="0"/>
        <w:adjustRightInd w:val="0"/>
        <w:ind w:left="720"/>
        <w:jc w:val="both"/>
        <w:rPr>
          <w:rFonts w:ascii="Verdana" w:eastAsiaTheme="minorHAnsi" w:hAnsi="Verdana" w:cs="Verdana"/>
          <w:sz w:val="16"/>
          <w:szCs w:val="16"/>
        </w:rPr>
      </w:pPr>
      <w:r w:rsidRPr="00672CEF">
        <w:rPr>
          <w:rFonts w:ascii="Verdana" w:eastAsiaTheme="minorHAnsi" w:hAnsi="Verdana" w:cs="Verdana"/>
          <w:sz w:val="16"/>
          <w:szCs w:val="16"/>
        </w:rPr>
        <w:t>De conformidad con lo expuesto, este Tribunal considera que Guatemala ha dado cumplimiento parcial a la medida ordenada en el párrafo 258 y el punto resolutivo decimoquinto de la Sentencia, ya que, efectuó el pago de la cantidad fijada por concepto de reintegro de costas y gastos a favor del Instituto de la Defensa Pública Penal, y se encuentra pendiente el pago a favor del Instituto de Estudios Comparados en Ciencias Penales de Guatemala. El Tribunal insta al pronto pago, a fin de que pueda valorar el cumplimiento total de esta reparación</w:t>
      </w:r>
      <w:r w:rsidRPr="00672CEF">
        <w:rPr>
          <w:rFonts w:ascii="Verdana" w:hAnsi="Verdana"/>
          <w:sz w:val="16"/>
          <w:szCs w:val="16"/>
        </w:rPr>
        <w:t>.</w:t>
      </w:r>
    </w:p>
    <w:sectPr w:rsidR="001F63FE" w:rsidRPr="00672CE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776E1" w14:textId="77777777" w:rsidR="00686797" w:rsidRDefault="00686797" w:rsidP="00EF4922">
      <w:r>
        <w:separator/>
      </w:r>
    </w:p>
  </w:endnote>
  <w:endnote w:type="continuationSeparator" w:id="0">
    <w:p w14:paraId="4939C4AD" w14:textId="77777777" w:rsidR="00686797" w:rsidRDefault="00686797" w:rsidP="00EF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EFF8E" w14:textId="77777777" w:rsidR="00EF4922" w:rsidRDefault="00EF4922" w:rsidP="00EF4922">
    <w:pPr>
      <w:jc w:val="both"/>
      <w:rPr>
        <w:rFonts w:ascii="Verdana" w:hAnsi="Verdana"/>
        <w:bCs/>
        <w:sz w:val="16"/>
        <w:szCs w:val="16"/>
        <w:lang w:val="es-MX"/>
      </w:rPr>
    </w:pPr>
    <w:r>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9FEBA9B" w14:textId="77777777" w:rsidR="00EF4922" w:rsidRPr="00EF4922" w:rsidRDefault="00EF4922" w:rsidP="00EF4922">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CBE6F" w14:textId="77777777" w:rsidR="00686797" w:rsidRDefault="00686797" w:rsidP="00EF4922">
      <w:r>
        <w:separator/>
      </w:r>
    </w:p>
  </w:footnote>
  <w:footnote w:type="continuationSeparator" w:id="0">
    <w:p w14:paraId="42E75805" w14:textId="77777777" w:rsidR="00686797" w:rsidRDefault="00686797" w:rsidP="00EF4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549136"/>
      <w:docPartObj>
        <w:docPartGallery w:val="Page Numbers (Top of Page)"/>
        <w:docPartUnique/>
      </w:docPartObj>
    </w:sdtPr>
    <w:sdtEndPr>
      <w:rPr>
        <w:rFonts w:ascii="Verdana" w:hAnsi="Verdana"/>
        <w:noProof/>
        <w:sz w:val="20"/>
        <w:szCs w:val="20"/>
      </w:rPr>
    </w:sdtEndPr>
    <w:sdtContent>
      <w:p w14:paraId="695A0CCC" w14:textId="77777777" w:rsidR="00EF4922" w:rsidRPr="00EF4922" w:rsidRDefault="00EF4922">
        <w:pPr>
          <w:pStyle w:val="Encabezado"/>
          <w:jc w:val="right"/>
          <w:rPr>
            <w:rFonts w:ascii="Verdana" w:hAnsi="Verdana"/>
            <w:sz w:val="20"/>
            <w:szCs w:val="20"/>
          </w:rPr>
        </w:pPr>
        <w:r w:rsidRPr="00EF4922">
          <w:rPr>
            <w:rFonts w:ascii="Verdana" w:hAnsi="Verdana"/>
            <w:sz w:val="20"/>
            <w:szCs w:val="20"/>
          </w:rPr>
          <w:fldChar w:fldCharType="begin"/>
        </w:r>
        <w:r w:rsidRPr="00EF4922">
          <w:rPr>
            <w:rFonts w:ascii="Verdana" w:hAnsi="Verdana"/>
            <w:sz w:val="20"/>
            <w:szCs w:val="20"/>
          </w:rPr>
          <w:instrText xml:space="preserve"> PAGE   \* MERGEFORMAT </w:instrText>
        </w:r>
        <w:r w:rsidRPr="00EF4922">
          <w:rPr>
            <w:rFonts w:ascii="Verdana" w:hAnsi="Verdana"/>
            <w:sz w:val="20"/>
            <w:szCs w:val="20"/>
          </w:rPr>
          <w:fldChar w:fldCharType="separate"/>
        </w:r>
        <w:r w:rsidR="00E746BE">
          <w:rPr>
            <w:rFonts w:ascii="Verdana" w:hAnsi="Verdana"/>
            <w:noProof/>
            <w:sz w:val="20"/>
            <w:szCs w:val="20"/>
          </w:rPr>
          <w:t>1</w:t>
        </w:r>
        <w:r w:rsidRPr="00EF4922">
          <w:rPr>
            <w:rFonts w:ascii="Verdana" w:hAnsi="Verdana"/>
            <w:noProof/>
            <w:sz w:val="20"/>
            <w:szCs w:val="20"/>
          </w:rPr>
          <w:fldChar w:fldCharType="end"/>
        </w:r>
      </w:p>
    </w:sdtContent>
  </w:sdt>
  <w:p w14:paraId="3EA9DF54" w14:textId="77777777" w:rsidR="00EF4922" w:rsidRDefault="00EF49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C13B0"/>
    <w:multiLevelType w:val="hybridMultilevel"/>
    <w:tmpl w:val="C3D67DC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5EA823C8"/>
    <w:multiLevelType w:val="hybridMultilevel"/>
    <w:tmpl w:val="D25821F6"/>
    <w:lvl w:ilvl="0" w:tplc="0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712918497">
    <w:abstractNumId w:val="0"/>
  </w:num>
  <w:num w:numId="2" w16cid:durableId="1828933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922"/>
    <w:rsid w:val="00002EE1"/>
    <w:rsid w:val="000C5FAC"/>
    <w:rsid w:val="000D6436"/>
    <w:rsid w:val="00124F43"/>
    <w:rsid w:val="001855A6"/>
    <w:rsid w:val="001F63FE"/>
    <w:rsid w:val="002B5982"/>
    <w:rsid w:val="003205AB"/>
    <w:rsid w:val="00344F42"/>
    <w:rsid w:val="003A7E5E"/>
    <w:rsid w:val="003E324B"/>
    <w:rsid w:val="003E7C42"/>
    <w:rsid w:val="00417A2C"/>
    <w:rsid w:val="00606CAB"/>
    <w:rsid w:val="006707D4"/>
    <w:rsid w:val="00672CEF"/>
    <w:rsid w:val="00686797"/>
    <w:rsid w:val="006A48FA"/>
    <w:rsid w:val="00707BD5"/>
    <w:rsid w:val="007778CC"/>
    <w:rsid w:val="008102C9"/>
    <w:rsid w:val="008432C4"/>
    <w:rsid w:val="00853DC0"/>
    <w:rsid w:val="008D6B41"/>
    <w:rsid w:val="009462E6"/>
    <w:rsid w:val="009832C0"/>
    <w:rsid w:val="0099172D"/>
    <w:rsid w:val="00A55F5D"/>
    <w:rsid w:val="00A57D50"/>
    <w:rsid w:val="00A6401D"/>
    <w:rsid w:val="00B14024"/>
    <w:rsid w:val="00B5725E"/>
    <w:rsid w:val="00B879A1"/>
    <w:rsid w:val="00C72934"/>
    <w:rsid w:val="00CB73F2"/>
    <w:rsid w:val="00D56F40"/>
    <w:rsid w:val="00E25C07"/>
    <w:rsid w:val="00E406D4"/>
    <w:rsid w:val="00E746BE"/>
    <w:rsid w:val="00E9204F"/>
    <w:rsid w:val="00EF4922"/>
    <w:rsid w:val="00FF4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21117"/>
  <w15:docId w15:val="{6FB544C7-E021-4D5A-8684-11F512D1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22"/>
    <w:pPr>
      <w:spacing w:after="0" w:line="240" w:lineRule="auto"/>
    </w:pPr>
    <w:rPr>
      <w:rFonts w:ascii="Times New Roman" w:eastAsia="Times New Roman" w:hAnsi="Times New Roman" w:cs="Times New Roman"/>
      <w:sz w:val="24"/>
      <w:szCs w:val="24"/>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4922"/>
    <w:pPr>
      <w:tabs>
        <w:tab w:val="center" w:pos="4680"/>
        <w:tab w:val="right" w:pos="9360"/>
      </w:tabs>
    </w:pPr>
  </w:style>
  <w:style w:type="character" w:customStyle="1" w:styleId="EncabezadoCar">
    <w:name w:val="Encabezado Car"/>
    <w:basedOn w:val="Fuentedeprrafopredeter"/>
    <w:link w:val="Encabezado"/>
    <w:uiPriority w:val="99"/>
    <w:rsid w:val="00EF4922"/>
    <w:rPr>
      <w:rFonts w:ascii="Times New Roman" w:eastAsia="Times New Roman" w:hAnsi="Times New Roman" w:cs="Times New Roman"/>
      <w:sz w:val="24"/>
      <w:szCs w:val="24"/>
      <w:lang w:val="es-CR" w:eastAsia="es-ES"/>
    </w:rPr>
  </w:style>
  <w:style w:type="paragraph" w:styleId="Piedepgina">
    <w:name w:val="footer"/>
    <w:basedOn w:val="Normal"/>
    <w:link w:val="PiedepginaCar"/>
    <w:uiPriority w:val="99"/>
    <w:unhideWhenUsed/>
    <w:rsid w:val="00EF4922"/>
    <w:pPr>
      <w:tabs>
        <w:tab w:val="center" w:pos="4680"/>
        <w:tab w:val="right" w:pos="9360"/>
      </w:tabs>
    </w:pPr>
  </w:style>
  <w:style w:type="character" w:customStyle="1" w:styleId="PiedepginaCar">
    <w:name w:val="Pie de página Car"/>
    <w:basedOn w:val="Fuentedeprrafopredeter"/>
    <w:link w:val="Piedepgina"/>
    <w:uiPriority w:val="99"/>
    <w:rsid w:val="00EF4922"/>
    <w:rPr>
      <w:rFonts w:ascii="Times New Roman" w:eastAsia="Times New Roman" w:hAnsi="Times New Roman" w:cs="Times New Roman"/>
      <w:sz w:val="24"/>
      <w:szCs w:val="24"/>
      <w:lang w:val="es-CR" w:eastAsia="es-ES"/>
    </w:rPr>
  </w:style>
  <w:style w:type="paragraph" w:styleId="Prrafodelista">
    <w:name w:val="List Paragraph"/>
    <w:aliases w:val="Footnote,List Paragraph1,Párrafo de lista1,Colorful List - Accent 11,List Paragraph2,Lista vistosa - Énfasis 11"/>
    <w:basedOn w:val="Normal"/>
    <w:link w:val="PrrafodelistaCar"/>
    <w:uiPriority w:val="34"/>
    <w:qFormat/>
    <w:rsid w:val="00344F42"/>
    <w:pPr>
      <w:ind w:left="720"/>
      <w:contextualSpacing/>
    </w:pPr>
  </w:style>
  <w:style w:type="character" w:customStyle="1" w:styleId="PrrafodelistaCar">
    <w:name w:val="Párrafo de lista Car"/>
    <w:aliases w:val="Footnote Car,List Paragraph1 Car,Párrafo de lista1 Car,Colorful List - Accent 11 Car,List Paragraph2 Car,Lista vistosa - Énfasis 11 Car"/>
    <w:link w:val="Prrafodelista"/>
    <w:uiPriority w:val="34"/>
    <w:rsid w:val="003E7C42"/>
    <w:rPr>
      <w:rFonts w:ascii="Times New Roman" w:eastAsia="Times New Roman" w:hAnsi="Times New Roman" w:cs="Times New Roman"/>
      <w:sz w:val="24"/>
      <w:szCs w:val="24"/>
      <w:lang w:val="es-C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19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228</Words>
  <Characters>1257</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Genesis Ugalde</cp:lastModifiedBy>
  <cp:revision>7</cp:revision>
  <cp:lastPrinted>2021-05-25T21:37:00Z</cp:lastPrinted>
  <dcterms:created xsi:type="dcterms:W3CDTF">2022-08-26T22:21:00Z</dcterms:created>
  <dcterms:modified xsi:type="dcterms:W3CDTF">2024-06-27T16:29:00Z</dcterms:modified>
</cp:coreProperties>
</file>